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426d2493b4e1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10321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 Filipović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665.026,32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698.564,74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653.265,97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718.838,49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20.273,75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12.106,30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45.263,98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12.106,30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45.263,98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65.537,73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Trošak (šifra 3) i obveze (šifra 2) za plaću za mjesec prosinac (12/2025) iznosi ukupno </w:t>
      </w:r>
      <w:r>
        <w:rPr>
          <w:b/>
        </w:rPr>
        <w:t xml:space="preserve">49.518,27 eura</w:t>
      </w:r>
      <w:r>
        <w:t xml:space="preserve">. Prihod (šifra 6) će biti priznat pri isplati plaće u mjesecu siječnju (01/2026). </w:t>
      </w:r>
    </w:p>
    <w:p>
      <w:r>
        <w:t xml:space="preserve">Na povećenje manjka prihoda uz plaću najviše je utjecao projek prekogranične suradnje, gdje škola potražuje iznos od </w:t>
      </w:r>
      <w:r>
        <w:rPr>
          <w:b/>
        </w:rPr>
        <w:t xml:space="preserve">11.640,19 eura</w:t>
      </w:r>
      <w:r>
        <w:t xml:space="preserve"> za radove u školi koji su obavljeni u 2025. godini, a refundacija od ministarstva nije došla do kraja 2025. godine.</w:t>
      </w:r>
    </w:p>
    <w:p>
      <w:r>
        <w:t xml:space="preserve">Ista stvar se dogodila i kod kupvine učeničkih udžbenika, gdje postoji trošak u iznosu od </w:t>
      </w:r>
      <w:r>
        <w:rPr>
          <w:b/>
        </w:rPr>
        <w:t xml:space="preserve">3.393,25 eura</w:t>
      </w:r>
      <w:r>
        <w:t xml:space="preserve">, kojeg škola potražuje, a ministarstvo nije refundiralo novce do kraja 2025. godine.</w:t>
      </w:r>
    </w:p>
    <w:p>
      <w:r>
        <w:t xml:space="preserve">Na smanjenje ukupnog manjka utjecali su prihodi od nadležnog proračuna (VSŽ) dobiveni u siječnju (01/2025), odnosno pri plaćanju obveza iz prosinca (12/2024), gdje su troškovi i obveze nastale, a prihod je priznat pri plaćanju u siječnju (01/2025). Ukupna razlika novca dobivenog u siječnju (priznati prihodi) i potrošenog novca u prosincu (trošak i obveza za račune) daju nam pozitivnu razliku u iznosu od </w:t>
      </w:r>
      <w:r>
        <w:rPr>
          <w:b/>
        </w:rPr>
        <w:t xml:space="preserve">21,79 eura</w:t>
      </w:r>
      <w:r>
        <w:t xml:space="preserve">. Riječ je o izvoru 48.</w:t>
      </w:r>
    </w:p>
    <w:p>
      <w:r>
        <w:t xml:space="preserve">Kod izvora 31 ne postoji trošak, međutim postoji prihod u iznosu od </w:t>
      </w:r>
      <w:r>
        <w:rPr>
          <w:b/>
        </w:rPr>
        <w:t xml:space="preserve">65,92 eura</w:t>
      </w:r>
      <w:r>
        <w:t xml:space="preserve">, što umanjuje ukupni manjak.</w:t>
      </w:r>
    </w:p>
    <w:p>
      <w:r>
        <w:t xml:space="preserve">Na izvoru 43 postoji manjak od </w:t>
      </w:r>
      <w:r>
        <w:rPr>
          <w:b/>
        </w:rPr>
        <w:t xml:space="preserve">76,10 eura</w:t>
      </w:r>
      <w:r>
        <w:t xml:space="preserve"> koji povećava ukupni manjak.  Na dodatno povećanje ukupnog manjka utječe i manjak na izvoru 52 gdje postoji razlika u iznosu od </w:t>
      </w:r>
      <w:r>
        <w:rPr>
          <w:b/>
        </w:rPr>
        <w:t xml:space="preserve">68,58 eura</w:t>
      </w:r>
      <w:r>
        <w:t xml:space="preserve">.</w:t>
      </w:r>
    </w:p>
    <w:p>
      <w:r>
        <w:t xml:space="preserve">Na izvoru 51, izuzev troška plaće, troška prekogranične suradnje i učeničkih udžbenika koji su zasebno prikazani, postoji razlika između prihoda i troškova u iznosu od </w:t>
      </w:r>
      <w:r>
        <w:rPr>
          <w:b/>
        </w:rPr>
        <w:t xml:space="preserve">929,05 eura, </w:t>
      </w:r>
      <w:r>
        <w:t xml:space="preserve">što je dodatno povećalo ukupni manjak. Radi se o razlici dobivenih sredstava krajem 2025. godine, koji će biti utrošeni u 2026. godini i obrnuto, odnosno, potrošenim sredstvima početkom 2025. godine, koji su dobiveni krajem 2024. godine.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9.329,95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241,3</w:t>
            </w:r>
          </w:p>
        </w:tc>
      </w:tr>
    </w:tbl>
    <w:p>
      <w:pPr>
        <w:spacing w:before="0" w:after="0"/>
      </w:pPr>
    </w:p>
    <w:p>
      <w:r>
        <w:t xml:space="preserve">Dobiveni prihodi od jedinice lokalne samouprave u iznosu od 8.310,00 eura za izradu metalne ograde ispred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2.619,00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24.498,35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935,4</w:t>
            </w:r>
          </w:p>
        </w:tc>
      </w:tr>
    </w:tbl>
    <w:p>
      <w:pPr>
        <w:spacing w:before="0" w:after="0"/>
      </w:pPr>
    </w:p>
    <w:p>
      <w:r>
        <w:t xml:space="preserve">Škola je dobila 15.000,00 eura za izradu projektno-tehničke dokumentaije za dvoranu, te 9.125,10 eura za projekt prekogranične suradnje.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Izrada metalne ograde ispred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35.765,29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1505,9</w:t>
            </w:r>
          </w:p>
        </w:tc>
      </w:tr>
    </w:tbl>
    <w:p>
      <w:pPr>
        <w:spacing w:before="0" w:after="0"/>
      </w:pPr>
    </w:p>
    <w:p>
      <w:r>
        <w:t xml:space="preserve">Izrada projektno-tehničke dokumentacije za dvoranu i projekt prekogranične suradnje.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10.446,15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76.996,11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737,1</w:t>
            </w:r>
          </w:p>
        </w:tc>
      </w:tr>
    </w:tbl>
    <w:p>
      <w:pPr>
        <w:spacing w:before="0" w:after="0"/>
      </w:pPr>
    </w:p>
    <w:p>
      <w:r>
        <w:t xml:space="preserve">Potraživanja za plaću 12/2025 u iznosu od 49.518,27 eura, koji su 2024. godine knjiženi na kontinuirane rashode. Uz potraživanje za plaću, škola potražuje i 11.640,19 eura za projekt prekogranične suradnje.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3.638,87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kontu 232 stoji iznos dospjelih obveza u visini od 157,50 eura. Riječ je o usluzi prijevoza hrane učenicima za 10/2025, kojeg financira jedinica lokalne samouprave, a ista je prihod prebacila tek 30.12.2025. godine, dok je zahtjev poslan 26.11.2025. godine.</w:t>
      </w:r>
    </w:p>
    <w:p>
      <w:r>
        <w:t xml:space="preserve"> </w:t>
      </w:r>
    </w:p>
    <w:p>
      <w:r>
        <w:t xml:space="preserve">Na kontima 237 i 24 stoji ukupni iznos od 3.481,37 eura, a riječ je o dva računa koji se odnose na kupovinu udžbenika za učenike, koje financira Ministarstvo znanosti, obrazovanja i mladih, a isti do 31.12.2025. godine, nisu prebacili sredstva za pokrivanje troška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Osnovna škola sudjeluje u jednom EU projektu pod nazivom Školska shema voća i povrća, te mlijeka i mliječnih proizvoda. Omjer projekta je 80% EU sredstva, a 20% nacionlana sredstva.</w:t>
      </w:r>
    </w:p>
    <w:p>
      <w:r>
        <w:t xml:space="preserve">Ukupna vrijednost projekta iznosi 284,05 eura.</w:t>
      </w:r>
    </w:p>
    <w:p>
      <w:r>
        <w:t xml:space="preserve">Škola je dobila predujam u iznosu od 32,68 eura.</w:t>
      </w:r>
    </w:p>
    <w:p>
      <w:r>
        <w:t xml:space="preserve">Škola je u 11/2025 i 12/2025 potrošila 118,20 eura u projektu.</w:t>
      </w:r>
    </w:p>
    <w:p>
      <w:r>
        <w:t xml:space="preserve">Za navedenu potrošnju još čeka refundaciju.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d6014c46b54d84" /></Relationships>
</file>